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70AA" w14:textId="5042F107" w:rsidR="003C67F1" w:rsidRDefault="00365846" w:rsidP="00DE1A50">
      <w:pPr>
        <w:jc w:val="center"/>
        <w:rPr>
          <w:rFonts w:ascii="Arial" w:hAnsi="Arial" w:cs="Arial"/>
          <w:b/>
          <w:bCs/>
          <w:sz w:val="28"/>
          <w:szCs w:val="28"/>
        </w:rPr>
      </w:pPr>
      <w:r w:rsidRPr="00365846">
        <w:rPr>
          <w:rFonts w:ascii="Arial" w:hAnsi="Arial" w:cs="Arial"/>
          <w:b/>
          <w:bCs/>
          <w:sz w:val="28"/>
          <w:szCs w:val="28"/>
        </w:rPr>
        <w:t>Reihengeschäfte</w:t>
      </w:r>
    </w:p>
    <w:p w14:paraId="0C68F365" w14:textId="70627300" w:rsidR="00922E46" w:rsidRDefault="00922E46" w:rsidP="00DE1A50">
      <w:pPr>
        <w:jc w:val="both"/>
        <w:rPr>
          <w:rFonts w:ascii="Arial" w:hAnsi="Arial" w:cs="Arial"/>
          <w:sz w:val="24"/>
          <w:szCs w:val="24"/>
        </w:rPr>
      </w:pPr>
      <w:r>
        <w:rPr>
          <w:rFonts w:ascii="Arial" w:hAnsi="Arial" w:cs="Arial"/>
          <w:sz w:val="24"/>
          <w:szCs w:val="24"/>
        </w:rPr>
        <w:t>Als Reihengeschäfte werden Umsatzgeschäfte bezeichnet, die von mehreren Unter</w:t>
      </w:r>
      <w:r>
        <w:rPr>
          <w:rFonts w:ascii="Arial" w:hAnsi="Arial" w:cs="Arial"/>
          <w:sz w:val="24"/>
          <w:szCs w:val="24"/>
        </w:rPr>
        <w:softHyphen/>
        <w:t>neh</w:t>
      </w:r>
      <w:r>
        <w:rPr>
          <w:rFonts w:ascii="Arial" w:hAnsi="Arial" w:cs="Arial"/>
          <w:sz w:val="24"/>
          <w:szCs w:val="24"/>
        </w:rPr>
        <w:softHyphen/>
        <w:t>mern über denselben Gegenstand abgeschlossen werden und bei denen dieser Gegenstand im Rahmen einer Beförderung oder Versendung unmittelbar vom ersten Unternehmer an den letzten Abnehmer gelangt (§ 3 Abs. 6 Satz 5 UStG).</w:t>
      </w:r>
    </w:p>
    <w:p w14:paraId="051B0AEC" w14:textId="6B0B68DC" w:rsidR="00922E46" w:rsidRDefault="00922E46" w:rsidP="00DE1A50">
      <w:pPr>
        <w:jc w:val="both"/>
        <w:rPr>
          <w:rFonts w:ascii="Arial" w:hAnsi="Arial" w:cs="Arial"/>
          <w:sz w:val="24"/>
          <w:szCs w:val="24"/>
        </w:rPr>
      </w:pPr>
      <w:r>
        <w:rPr>
          <w:rFonts w:ascii="Arial" w:hAnsi="Arial" w:cs="Arial"/>
          <w:sz w:val="24"/>
          <w:szCs w:val="24"/>
        </w:rPr>
        <w:t>Die Beförderung oder Versendung des Gegenstandes ist nur einer der Lieferungen zuzuordnen (bewegte Lieferung). Und nur bei dieser bewegten Lieferung kommt die Steuerbefreiung für Ausfuhrlieferungen oder für innergemeinschaftliche Lieferungen in Betracht.</w:t>
      </w:r>
    </w:p>
    <w:p w14:paraId="5A03A06C" w14:textId="40096561" w:rsidR="009C1BA9" w:rsidRDefault="009C1BA9" w:rsidP="00DE1A50">
      <w:pPr>
        <w:jc w:val="both"/>
        <w:rPr>
          <w:rFonts w:ascii="Arial" w:hAnsi="Arial" w:cs="Arial"/>
          <w:sz w:val="24"/>
          <w:szCs w:val="24"/>
        </w:rPr>
      </w:pPr>
      <w:r>
        <w:rPr>
          <w:rFonts w:ascii="Arial" w:hAnsi="Arial" w:cs="Arial"/>
          <w:sz w:val="24"/>
          <w:szCs w:val="24"/>
        </w:rPr>
        <w:t>Für die Zuordnung wird auf die Transportveranlassung abgestellt. Liegt die Trans</w:t>
      </w:r>
      <w:r>
        <w:rPr>
          <w:rFonts w:ascii="Arial" w:hAnsi="Arial" w:cs="Arial"/>
          <w:sz w:val="24"/>
          <w:szCs w:val="24"/>
        </w:rPr>
        <w:softHyphen/>
        <w:t>port</w:t>
      </w:r>
      <w:r>
        <w:rPr>
          <w:rFonts w:ascii="Arial" w:hAnsi="Arial" w:cs="Arial"/>
          <w:sz w:val="24"/>
          <w:szCs w:val="24"/>
        </w:rPr>
        <w:softHyphen/>
        <w:t>verantwortlichkeit bei mehreren an der Reihe beteiligten Unternehmern (sog. gebro</w:t>
      </w:r>
      <w:r w:rsidR="00DE1A50">
        <w:rPr>
          <w:rFonts w:ascii="Arial" w:hAnsi="Arial" w:cs="Arial"/>
          <w:sz w:val="24"/>
          <w:szCs w:val="24"/>
        </w:rPr>
        <w:softHyphen/>
      </w:r>
      <w:r>
        <w:rPr>
          <w:rFonts w:ascii="Arial" w:hAnsi="Arial" w:cs="Arial"/>
          <w:sz w:val="24"/>
          <w:szCs w:val="24"/>
        </w:rPr>
        <w:t>chene Beförderung oder Versendung), liegt kein Reihengeschäft vor.</w:t>
      </w:r>
    </w:p>
    <w:p w14:paraId="2FC2ACF2" w14:textId="770246AB" w:rsidR="00922E46" w:rsidRDefault="00922E46" w:rsidP="00DE1A50">
      <w:pPr>
        <w:jc w:val="both"/>
        <w:rPr>
          <w:rFonts w:ascii="Arial" w:hAnsi="Arial" w:cs="Arial"/>
          <w:sz w:val="24"/>
          <w:szCs w:val="24"/>
        </w:rPr>
      </w:pPr>
      <w:r>
        <w:rPr>
          <w:rFonts w:ascii="Arial" w:hAnsi="Arial" w:cs="Arial"/>
          <w:sz w:val="24"/>
          <w:szCs w:val="24"/>
        </w:rPr>
        <w:t xml:space="preserve">§ 3 Abs. 6a UStG regelt </w:t>
      </w:r>
      <w:r w:rsidR="00292153">
        <w:rPr>
          <w:rFonts w:ascii="Arial" w:hAnsi="Arial" w:cs="Arial"/>
          <w:sz w:val="24"/>
          <w:szCs w:val="24"/>
        </w:rPr>
        <w:t xml:space="preserve">aufgrund der Änderung der </w:t>
      </w:r>
      <w:proofErr w:type="spellStart"/>
      <w:r w:rsidR="00292153">
        <w:rPr>
          <w:rFonts w:ascii="Arial" w:hAnsi="Arial" w:cs="Arial"/>
          <w:sz w:val="24"/>
          <w:szCs w:val="24"/>
        </w:rPr>
        <w:t>MwStSytRL</w:t>
      </w:r>
      <w:proofErr w:type="spellEnd"/>
      <w:r w:rsidR="00292153">
        <w:rPr>
          <w:rFonts w:ascii="Arial" w:hAnsi="Arial" w:cs="Arial"/>
          <w:sz w:val="24"/>
          <w:szCs w:val="24"/>
        </w:rPr>
        <w:t xml:space="preserve"> in der EU </w:t>
      </w:r>
      <w:r>
        <w:rPr>
          <w:rFonts w:ascii="Arial" w:hAnsi="Arial" w:cs="Arial"/>
          <w:sz w:val="24"/>
          <w:szCs w:val="24"/>
        </w:rPr>
        <w:t>ab 1.1.2020:</w:t>
      </w:r>
    </w:p>
    <w:p w14:paraId="49508812" w14:textId="623429D4" w:rsidR="00922E46" w:rsidRDefault="00922E46" w:rsidP="00DE1A50">
      <w:pPr>
        <w:pStyle w:val="Listenabsatz"/>
        <w:numPr>
          <w:ilvl w:val="0"/>
          <w:numId w:val="1"/>
        </w:numPr>
        <w:jc w:val="both"/>
        <w:rPr>
          <w:rFonts w:ascii="Arial" w:hAnsi="Arial" w:cs="Arial"/>
          <w:sz w:val="24"/>
          <w:szCs w:val="24"/>
        </w:rPr>
      </w:pPr>
      <w:r>
        <w:rPr>
          <w:rFonts w:ascii="Arial" w:hAnsi="Arial" w:cs="Arial"/>
          <w:sz w:val="24"/>
          <w:szCs w:val="24"/>
        </w:rPr>
        <w:t xml:space="preserve">Befördert / versendet der </w:t>
      </w:r>
      <w:r w:rsidRPr="002E6D36">
        <w:rPr>
          <w:rFonts w:ascii="Arial" w:hAnsi="Arial" w:cs="Arial"/>
          <w:b/>
          <w:bCs/>
          <w:sz w:val="24"/>
          <w:szCs w:val="24"/>
        </w:rPr>
        <w:t>Erste</w:t>
      </w:r>
      <w:r>
        <w:rPr>
          <w:rFonts w:ascii="Arial" w:hAnsi="Arial" w:cs="Arial"/>
          <w:sz w:val="24"/>
          <w:szCs w:val="24"/>
        </w:rPr>
        <w:t xml:space="preserve"> in der Reihe, ist die erste Lieferung die bewegte Lieferung.</w:t>
      </w:r>
    </w:p>
    <w:p w14:paraId="1C6F9C69" w14:textId="68F82BB3" w:rsidR="002E6D36" w:rsidRPr="00922E46" w:rsidRDefault="002E6D36" w:rsidP="00DE1A50">
      <w:pPr>
        <w:pStyle w:val="Listenabsatz"/>
        <w:numPr>
          <w:ilvl w:val="0"/>
          <w:numId w:val="1"/>
        </w:numPr>
        <w:jc w:val="both"/>
        <w:rPr>
          <w:rFonts w:ascii="Arial" w:hAnsi="Arial" w:cs="Arial"/>
          <w:sz w:val="24"/>
          <w:szCs w:val="24"/>
        </w:rPr>
      </w:pPr>
      <w:r>
        <w:rPr>
          <w:rFonts w:ascii="Arial" w:hAnsi="Arial" w:cs="Arial"/>
          <w:sz w:val="24"/>
          <w:szCs w:val="24"/>
        </w:rPr>
        <w:t xml:space="preserve">Befördert / versendet der </w:t>
      </w:r>
      <w:r w:rsidRPr="002E6D36">
        <w:rPr>
          <w:rFonts w:ascii="Arial" w:hAnsi="Arial" w:cs="Arial"/>
          <w:b/>
          <w:bCs/>
          <w:sz w:val="24"/>
          <w:szCs w:val="24"/>
        </w:rPr>
        <w:t>Letzte</w:t>
      </w:r>
      <w:r>
        <w:rPr>
          <w:rFonts w:ascii="Arial" w:hAnsi="Arial" w:cs="Arial"/>
          <w:sz w:val="24"/>
          <w:szCs w:val="24"/>
        </w:rPr>
        <w:t xml:space="preserve"> in der Reihe, ist die letzte Lieferung die bewegte Lieferung</w:t>
      </w:r>
      <w:r w:rsidR="009C1BA9">
        <w:rPr>
          <w:rFonts w:ascii="Arial" w:hAnsi="Arial" w:cs="Arial"/>
          <w:sz w:val="24"/>
          <w:szCs w:val="24"/>
        </w:rPr>
        <w:t xml:space="preserve"> (Abholfall)</w:t>
      </w:r>
      <w:r>
        <w:rPr>
          <w:rFonts w:ascii="Arial" w:hAnsi="Arial" w:cs="Arial"/>
          <w:sz w:val="24"/>
          <w:szCs w:val="24"/>
        </w:rPr>
        <w:t>.</w:t>
      </w:r>
    </w:p>
    <w:p w14:paraId="00D02AE9" w14:textId="79E6A803" w:rsidR="002E6D36" w:rsidRPr="00922E46" w:rsidRDefault="002E6D36" w:rsidP="00DE1A50">
      <w:pPr>
        <w:pStyle w:val="Listenabsatz"/>
        <w:numPr>
          <w:ilvl w:val="0"/>
          <w:numId w:val="1"/>
        </w:numPr>
        <w:jc w:val="both"/>
        <w:rPr>
          <w:rFonts w:ascii="Arial" w:hAnsi="Arial" w:cs="Arial"/>
          <w:sz w:val="24"/>
          <w:szCs w:val="24"/>
        </w:rPr>
      </w:pPr>
      <w:r>
        <w:rPr>
          <w:rFonts w:ascii="Arial" w:hAnsi="Arial" w:cs="Arial"/>
          <w:sz w:val="24"/>
          <w:szCs w:val="24"/>
        </w:rPr>
        <w:t xml:space="preserve">Befördert / versendet der </w:t>
      </w:r>
      <w:r w:rsidRPr="002E6D36">
        <w:rPr>
          <w:rFonts w:ascii="Arial" w:hAnsi="Arial" w:cs="Arial"/>
          <w:b/>
          <w:bCs/>
          <w:sz w:val="24"/>
          <w:szCs w:val="24"/>
        </w:rPr>
        <w:t>Mittlere</w:t>
      </w:r>
      <w:r>
        <w:rPr>
          <w:rFonts w:ascii="Arial" w:hAnsi="Arial" w:cs="Arial"/>
          <w:sz w:val="24"/>
          <w:szCs w:val="24"/>
        </w:rPr>
        <w:t xml:space="preserve"> in der Reihe, ist i</w:t>
      </w:r>
      <w:r w:rsidR="009A1D52">
        <w:rPr>
          <w:rFonts w:ascii="Arial" w:hAnsi="Arial" w:cs="Arial"/>
          <w:sz w:val="24"/>
          <w:szCs w:val="24"/>
        </w:rPr>
        <w:t xml:space="preserve">n </w:t>
      </w:r>
      <w:r>
        <w:rPr>
          <w:rFonts w:ascii="Arial" w:hAnsi="Arial" w:cs="Arial"/>
          <w:sz w:val="24"/>
          <w:szCs w:val="24"/>
        </w:rPr>
        <w:t>d</w:t>
      </w:r>
      <w:r w:rsidR="009A1D52">
        <w:rPr>
          <w:rFonts w:ascii="Arial" w:hAnsi="Arial" w:cs="Arial"/>
          <w:sz w:val="24"/>
          <w:szCs w:val="24"/>
        </w:rPr>
        <w:t>er</w:t>
      </w:r>
      <w:r>
        <w:rPr>
          <w:rFonts w:ascii="Arial" w:hAnsi="Arial" w:cs="Arial"/>
          <w:sz w:val="24"/>
          <w:szCs w:val="24"/>
        </w:rPr>
        <w:t xml:space="preserve"> R</w:t>
      </w:r>
      <w:r w:rsidR="009A1D52">
        <w:rPr>
          <w:rFonts w:ascii="Arial" w:hAnsi="Arial" w:cs="Arial"/>
          <w:sz w:val="24"/>
          <w:szCs w:val="24"/>
        </w:rPr>
        <w:t>egel</w:t>
      </w:r>
      <w:r>
        <w:rPr>
          <w:rFonts w:ascii="Arial" w:hAnsi="Arial" w:cs="Arial"/>
          <w:sz w:val="24"/>
          <w:szCs w:val="24"/>
        </w:rPr>
        <w:t xml:space="preserve"> die erste Lieferung die bewegte Lieferung.</w:t>
      </w:r>
      <w:r w:rsidR="006230B4">
        <w:rPr>
          <w:rFonts w:ascii="Arial" w:hAnsi="Arial" w:cs="Arial"/>
          <w:sz w:val="24"/>
          <w:szCs w:val="24"/>
        </w:rPr>
        <w:t xml:space="preserve"> Verwe</w:t>
      </w:r>
      <w:bookmarkStart w:id="0" w:name="_GoBack"/>
      <w:bookmarkEnd w:id="0"/>
      <w:r w:rsidR="006230B4">
        <w:rPr>
          <w:rFonts w:ascii="Arial" w:hAnsi="Arial" w:cs="Arial"/>
          <w:sz w:val="24"/>
          <w:szCs w:val="24"/>
        </w:rPr>
        <w:t xml:space="preserve">ndet der Zwischenhändler eine (gültige) </w:t>
      </w:r>
      <w:r w:rsidR="00DE1A50">
        <w:rPr>
          <w:rFonts w:ascii="Arial" w:hAnsi="Arial" w:cs="Arial"/>
          <w:sz w:val="24"/>
          <w:szCs w:val="24"/>
        </w:rPr>
        <w:t>Umsatzsteueridentifikationsnummer (</w:t>
      </w:r>
      <w:r w:rsidR="006230B4">
        <w:rPr>
          <w:rFonts w:ascii="Arial" w:hAnsi="Arial" w:cs="Arial"/>
          <w:sz w:val="24"/>
          <w:szCs w:val="24"/>
        </w:rPr>
        <w:t>UID</w:t>
      </w:r>
      <w:r w:rsidR="00DE1A50">
        <w:rPr>
          <w:rFonts w:ascii="Arial" w:hAnsi="Arial" w:cs="Arial"/>
          <w:sz w:val="24"/>
          <w:szCs w:val="24"/>
        </w:rPr>
        <w:t>)</w:t>
      </w:r>
      <w:r w:rsidR="006230B4">
        <w:rPr>
          <w:rFonts w:ascii="Arial" w:hAnsi="Arial" w:cs="Arial"/>
          <w:sz w:val="24"/>
          <w:szCs w:val="24"/>
        </w:rPr>
        <w:t xml:space="preserve"> des </w:t>
      </w:r>
      <w:bookmarkStart w:id="1" w:name="_Hlk24560267"/>
      <w:r w:rsidR="006230B4">
        <w:rPr>
          <w:rFonts w:ascii="Arial" w:hAnsi="Arial" w:cs="Arial"/>
          <w:sz w:val="24"/>
          <w:szCs w:val="24"/>
        </w:rPr>
        <w:t>Abgangsstaates</w:t>
      </w:r>
      <w:bookmarkEnd w:id="1"/>
      <w:r w:rsidR="00292153">
        <w:rPr>
          <w:rFonts w:ascii="Arial" w:hAnsi="Arial" w:cs="Arial"/>
          <w:sz w:val="24"/>
          <w:szCs w:val="24"/>
        </w:rPr>
        <w:t xml:space="preserve"> bei Reihen</w:t>
      </w:r>
      <w:r w:rsidR="009A1D52">
        <w:rPr>
          <w:rFonts w:ascii="Arial" w:hAnsi="Arial" w:cs="Arial"/>
          <w:sz w:val="24"/>
          <w:szCs w:val="24"/>
        </w:rPr>
        <w:softHyphen/>
      </w:r>
      <w:r w:rsidR="00292153">
        <w:rPr>
          <w:rFonts w:ascii="Arial" w:hAnsi="Arial" w:cs="Arial"/>
          <w:sz w:val="24"/>
          <w:szCs w:val="24"/>
        </w:rPr>
        <w:t>geschäften in der EU</w:t>
      </w:r>
      <w:r w:rsidR="006230B4">
        <w:rPr>
          <w:rFonts w:ascii="Arial" w:hAnsi="Arial" w:cs="Arial"/>
          <w:sz w:val="24"/>
          <w:szCs w:val="24"/>
        </w:rPr>
        <w:t>, dann gilt die zweite Lieferung als die bewegte.</w:t>
      </w:r>
    </w:p>
    <w:p w14:paraId="654A717A" w14:textId="1D6BD005" w:rsidR="009B68B5" w:rsidRDefault="009B68B5" w:rsidP="00DE1A50">
      <w:pPr>
        <w:jc w:val="both"/>
        <w:rPr>
          <w:rFonts w:ascii="Arial" w:hAnsi="Arial" w:cs="Arial"/>
          <w:sz w:val="24"/>
          <w:szCs w:val="24"/>
        </w:rPr>
      </w:pPr>
      <w:r>
        <w:rPr>
          <w:rFonts w:ascii="Arial" w:hAnsi="Arial" w:cs="Arial"/>
          <w:sz w:val="24"/>
          <w:szCs w:val="24"/>
        </w:rPr>
        <w:t xml:space="preserve">Wer die Rechnung des Spediteurs bekommt, gilt als dessen Auftraggeber. Im Zweifel kann auf die </w:t>
      </w:r>
      <w:proofErr w:type="spellStart"/>
      <w:r>
        <w:rPr>
          <w:rFonts w:ascii="Arial" w:hAnsi="Arial" w:cs="Arial"/>
          <w:sz w:val="24"/>
          <w:szCs w:val="24"/>
        </w:rPr>
        <w:t>Frachtzahlerkonditionen</w:t>
      </w:r>
      <w:proofErr w:type="spellEnd"/>
      <w:r>
        <w:rPr>
          <w:rFonts w:ascii="Arial" w:hAnsi="Arial" w:cs="Arial"/>
          <w:sz w:val="24"/>
          <w:szCs w:val="24"/>
        </w:rPr>
        <w:t xml:space="preserve"> abgestellt werden.</w:t>
      </w:r>
    </w:p>
    <w:p w14:paraId="1512524D" w14:textId="59266F7D" w:rsidR="00922E46" w:rsidRDefault="009B68B5" w:rsidP="00DE1A50">
      <w:pPr>
        <w:jc w:val="both"/>
        <w:rPr>
          <w:rFonts w:ascii="Arial" w:hAnsi="Arial" w:cs="Arial"/>
          <w:sz w:val="24"/>
          <w:szCs w:val="24"/>
        </w:rPr>
      </w:pPr>
      <w:r>
        <w:rPr>
          <w:rFonts w:ascii="Arial" w:hAnsi="Arial" w:cs="Arial"/>
          <w:sz w:val="24"/>
          <w:szCs w:val="24"/>
        </w:rPr>
        <w:t>Probleme ergeben sich, wenn – wie in der Praxis häufig der Fall – nicht allen Betei</w:t>
      </w:r>
      <w:r w:rsidR="009C1BA9">
        <w:rPr>
          <w:rFonts w:ascii="Arial" w:hAnsi="Arial" w:cs="Arial"/>
          <w:sz w:val="24"/>
          <w:szCs w:val="24"/>
        </w:rPr>
        <w:softHyphen/>
      </w:r>
      <w:r>
        <w:rPr>
          <w:rFonts w:ascii="Arial" w:hAnsi="Arial" w:cs="Arial"/>
          <w:sz w:val="24"/>
          <w:szCs w:val="24"/>
        </w:rPr>
        <w:t xml:space="preserve">ligten klar ist, dass es sich um ein Reihengeschäft handelt. </w:t>
      </w:r>
      <w:r w:rsidR="002E6D36">
        <w:rPr>
          <w:rFonts w:ascii="Arial" w:hAnsi="Arial" w:cs="Arial"/>
          <w:sz w:val="24"/>
          <w:szCs w:val="24"/>
        </w:rPr>
        <w:t>D</w:t>
      </w:r>
      <w:r>
        <w:rPr>
          <w:rFonts w:ascii="Arial" w:hAnsi="Arial" w:cs="Arial"/>
          <w:sz w:val="24"/>
          <w:szCs w:val="24"/>
        </w:rPr>
        <w:t>enn d</w:t>
      </w:r>
      <w:r w:rsidR="002E6D36">
        <w:rPr>
          <w:rFonts w:ascii="Arial" w:hAnsi="Arial" w:cs="Arial"/>
          <w:sz w:val="24"/>
          <w:szCs w:val="24"/>
        </w:rPr>
        <w:t>ie Zuordnung gilt unabhängig davon, ob der erste Lieferant von der Beauftragung des letzten Abnehm</w:t>
      </w:r>
      <w:r w:rsidR="009C1BA9">
        <w:rPr>
          <w:rFonts w:ascii="Arial" w:hAnsi="Arial" w:cs="Arial"/>
          <w:sz w:val="24"/>
          <w:szCs w:val="24"/>
        </w:rPr>
        <w:softHyphen/>
      </w:r>
      <w:r w:rsidR="002E6D36">
        <w:rPr>
          <w:rFonts w:ascii="Arial" w:hAnsi="Arial" w:cs="Arial"/>
          <w:sz w:val="24"/>
          <w:szCs w:val="24"/>
        </w:rPr>
        <w:t>ers Kenntnis hat!</w:t>
      </w:r>
    </w:p>
    <w:p w14:paraId="4B59BEC9" w14:textId="2DAD0576" w:rsidR="00922E46" w:rsidRDefault="009B68B5" w:rsidP="00DE1A50">
      <w:pPr>
        <w:jc w:val="both"/>
        <w:rPr>
          <w:rFonts w:ascii="Arial" w:hAnsi="Arial" w:cs="Arial"/>
          <w:sz w:val="24"/>
          <w:szCs w:val="24"/>
        </w:rPr>
      </w:pPr>
      <w:r>
        <w:rPr>
          <w:rFonts w:ascii="Arial" w:hAnsi="Arial" w:cs="Arial"/>
          <w:sz w:val="24"/>
          <w:szCs w:val="24"/>
        </w:rPr>
        <w:t>Abholfälle sind (weiterhin) gefährlich. Sicherer ist die eigene Beförderung durch den ersten Lieferanten (verbunden mit einer elektronischen Gelangensbestätigung) und Versendungsfälle.</w:t>
      </w:r>
    </w:p>
    <w:p w14:paraId="61B75895" w14:textId="678A929C" w:rsidR="00602773" w:rsidRPr="000E32FE" w:rsidRDefault="00602773" w:rsidP="00DE1A50">
      <w:pPr>
        <w:jc w:val="both"/>
        <w:rPr>
          <w:rFonts w:ascii="Arial" w:hAnsi="Arial" w:cs="Arial"/>
          <w:b/>
          <w:bCs/>
          <w:sz w:val="24"/>
          <w:szCs w:val="24"/>
        </w:rPr>
      </w:pPr>
      <w:r w:rsidRPr="000E32FE">
        <w:rPr>
          <w:rFonts w:ascii="Arial" w:hAnsi="Arial" w:cs="Arial"/>
          <w:b/>
          <w:bCs/>
          <w:sz w:val="24"/>
          <w:szCs w:val="24"/>
        </w:rPr>
        <w:t>Fazit:</w:t>
      </w:r>
    </w:p>
    <w:p w14:paraId="4A2747A8" w14:textId="5A99D7B7" w:rsidR="00602773" w:rsidRDefault="00602773" w:rsidP="00DE1A50">
      <w:pPr>
        <w:jc w:val="both"/>
        <w:rPr>
          <w:rFonts w:ascii="Arial" w:hAnsi="Arial" w:cs="Arial"/>
          <w:sz w:val="24"/>
          <w:szCs w:val="24"/>
        </w:rPr>
      </w:pPr>
      <w:r>
        <w:rPr>
          <w:rFonts w:ascii="Arial" w:hAnsi="Arial" w:cs="Arial"/>
          <w:sz w:val="24"/>
          <w:szCs w:val="24"/>
        </w:rPr>
        <w:t>Soweit deutsche Unternehmer in anderen EU-Staaten betroffener Zwischenhändler werden</w:t>
      </w:r>
      <w:r w:rsidR="000E32FE">
        <w:rPr>
          <w:rFonts w:ascii="Arial" w:hAnsi="Arial" w:cs="Arial"/>
          <w:sz w:val="24"/>
          <w:szCs w:val="24"/>
        </w:rPr>
        <w:t>, kann durch den bewussten Einsatz der UID die Rechtsfolge gesteuert wer</w:t>
      </w:r>
      <w:r w:rsidR="000E32FE">
        <w:rPr>
          <w:rFonts w:ascii="Arial" w:hAnsi="Arial" w:cs="Arial"/>
          <w:sz w:val="24"/>
          <w:szCs w:val="24"/>
        </w:rPr>
        <w:softHyphen/>
        <w:t>den.</w:t>
      </w:r>
    </w:p>
    <w:p w14:paraId="5753D54B" w14:textId="209C6E69" w:rsidR="002E6D36" w:rsidRDefault="000E32FE" w:rsidP="00DE1A50">
      <w:pPr>
        <w:pStyle w:val="Listenabsatz"/>
        <w:numPr>
          <w:ilvl w:val="0"/>
          <w:numId w:val="1"/>
        </w:numPr>
        <w:jc w:val="both"/>
        <w:rPr>
          <w:rFonts w:ascii="Arial" w:hAnsi="Arial" w:cs="Arial"/>
          <w:sz w:val="24"/>
          <w:szCs w:val="24"/>
        </w:rPr>
      </w:pPr>
      <w:r>
        <w:rPr>
          <w:rFonts w:ascii="Arial" w:hAnsi="Arial" w:cs="Arial"/>
          <w:sz w:val="24"/>
          <w:szCs w:val="24"/>
        </w:rPr>
        <w:t>Verwendet der deutsche Unternehmer gegenüber seinem Vorlieferanten aus anderen EU-Staaten die deutsche UID oder besitzt er sowieso nur diese, so hat er Anspruch auf eine Netto-Eingangsrechnung.</w:t>
      </w:r>
    </w:p>
    <w:p w14:paraId="055D28CA" w14:textId="0AADC20B" w:rsidR="00CB43DA" w:rsidRPr="00CB43DA" w:rsidRDefault="000E32FE" w:rsidP="002E31D6">
      <w:pPr>
        <w:pStyle w:val="Listenabsatz"/>
        <w:numPr>
          <w:ilvl w:val="0"/>
          <w:numId w:val="1"/>
        </w:numPr>
        <w:ind w:left="360"/>
        <w:jc w:val="both"/>
        <w:rPr>
          <w:rFonts w:ascii="Arial" w:hAnsi="Arial" w:cs="Arial"/>
          <w:sz w:val="24"/>
          <w:szCs w:val="24"/>
        </w:rPr>
      </w:pPr>
      <w:r w:rsidRPr="00CB43DA">
        <w:rPr>
          <w:rFonts w:ascii="Arial" w:hAnsi="Arial" w:cs="Arial"/>
          <w:sz w:val="24"/>
          <w:szCs w:val="24"/>
        </w:rPr>
        <w:t xml:space="preserve">Besitzt er auch eine UID des </w:t>
      </w:r>
      <w:r w:rsidR="006230B4" w:rsidRPr="00CB43DA">
        <w:rPr>
          <w:rFonts w:ascii="Arial" w:hAnsi="Arial" w:cs="Arial"/>
          <w:sz w:val="24"/>
          <w:szCs w:val="24"/>
        </w:rPr>
        <w:t>Abgangsstaates</w:t>
      </w:r>
      <w:r w:rsidRPr="00CB43DA">
        <w:rPr>
          <w:rFonts w:ascii="Arial" w:hAnsi="Arial" w:cs="Arial"/>
          <w:sz w:val="24"/>
          <w:szCs w:val="24"/>
        </w:rPr>
        <w:t>, so kann der Einsatz dersel</w:t>
      </w:r>
      <w:r w:rsidRPr="00CB43DA">
        <w:rPr>
          <w:rFonts w:ascii="Arial" w:hAnsi="Arial" w:cs="Arial"/>
          <w:sz w:val="24"/>
          <w:szCs w:val="24"/>
        </w:rPr>
        <w:softHyphen/>
        <w:t xml:space="preserve">bigen sinnvoll sein, wenn insbesondere im </w:t>
      </w:r>
      <w:r w:rsidR="00DE1A50" w:rsidRPr="00CB43DA">
        <w:rPr>
          <w:rFonts w:ascii="Arial" w:hAnsi="Arial" w:cs="Arial"/>
          <w:sz w:val="24"/>
          <w:szCs w:val="24"/>
        </w:rPr>
        <w:t>S</w:t>
      </w:r>
      <w:r w:rsidRPr="00CB43DA">
        <w:rPr>
          <w:rFonts w:ascii="Arial" w:hAnsi="Arial" w:cs="Arial"/>
          <w:sz w:val="24"/>
          <w:szCs w:val="24"/>
        </w:rPr>
        <w:t>taat</w:t>
      </w:r>
      <w:r w:rsidR="00DE1A50" w:rsidRPr="00CB43DA">
        <w:rPr>
          <w:rFonts w:ascii="Arial" w:hAnsi="Arial" w:cs="Arial"/>
          <w:sz w:val="24"/>
          <w:szCs w:val="24"/>
        </w:rPr>
        <w:t>, in den die Ware gebracht wird,</w:t>
      </w:r>
      <w:r w:rsidRPr="00CB43DA">
        <w:rPr>
          <w:rFonts w:ascii="Arial" w:hAnsi="Arial" w:cs="Arial"/>
          <w:sz w:val="24"/>
          <w:szCs w:val="24"/>
        </w:rPr>
        <w:t xml:space="preserve"> eine Registrierung droht.</w:t>
      </w:r>
    </w:p>
    <w:sectPr w:rsidR="00CB43DA" w:rsidRPr="00CB43D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335CD" w14:textId="77777777" w:rsidR="00653D7B" w:rsidRDefault="00653D7B" w:rsidP="00C679CF">
      <w:pPr>
        <w:spacing w:after="0" w:line="240" w:lineRule="auto"/>
      </w:pPr>
      <w:r>
        <w:separator/>
      </w:r>
    </w:p>
  </w:endnote>
  <w:endnote w:type="continuationSeparator" w:id="0">
    <w:p w14:paraId="72FEF21C" w14:textId="77777777" w:rsidR="00653D7B" w:rsidRDefault="00653D7B" w:rsidP="00C6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FC9CA" w14:textId="77777777" w:rsidR="00653D7B" w:rsidRDefault="00653D7B" w:rsidP="00C679CF">
      <w:pPr>
        <w:spacing w:after="0" w:line="240" w:lineRule="auto"/>
      </w:pPr>
      <w:r>
        <w:separator/>
      </w:r>
    </w:p>
  </w:footnote>
  <w:footnote w:type="continuationSeparator" w:id="0">
    <w:p w14:paraId="5074738A" w14:textId="77777777" w:rsidR="00653D7B" w:rsidRDefault="00653D7B" w:rsidP="00C67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33C2" w14:textId="77777777" w:rsidR="00C679CF" w:rsidRDefault="00C679CF" w:rsidP="00C679CF">
    <w:pPr>
      <w:pStyle w:val="Kopfzeile"/>
      <w:jc w:val="center"/>
      <w:rPr>
        <w:rFonts w:ascii="Arial" w:hAnsi="Arial" w:cs="Arial"/>
        <w:b/>
        <w:bCs/>
        <w:sz w:val="28"/>
        <w:szCs w:val="28"/>
      </w:rPr>
    </w:pPr>
    <w:r>
      <w:rPr>
        <w:rFonts w:ascii="Arial" w:hAnsi="Arial" w:cs="Arial"/>
        <w:b/>
        <w:bCs/>
        <w:sz w:val="28"/>
        <w:szCs w:val="28"/>
      </w:rPr>
      <w:t xml:space="preserve">Dr. Baier ∙ </w:t>
    </w:r>
    <w:proofErr w:type="spellStart"/>
    <w:r>
      <w:rPr>
        <w:rFonts w:ascii="Arial" w:hAnsi="Arial" w:cs="Arial"/>
        <w:b/>
        <w:bCs/>
        <w:sz w:val="28"/>
        <w:szCs w:val="28"/>
      </w:rPr>
      <w:t>Brenk</w:t>
    </w:r>
    <w:proofErr w:type="spellEnd"/>
    <w:r>
      <w:rPr>
        <w:rFonts w:ascii="Arial" w:hAnsi="Arial" w:cs="Arial"/>
        <w:b/>
        <w:bCs/>
        <w:sz w:val="28"/>
        <w:szCs w:val="28"/>
      </w:rPr>
      <w:t xml:space="preserve"> ∙ Götz</w:t>
    </w:r>
  </w:p>
  <w:p w14:paraId="33347916" w14:textId="77777777" w:rsidR="00C679CF" w:rsidRDefault="00C679CF" w:rsidP="00C679CF">
    <w:pPr>
      <w:pStyle w:val="Kopfzeile"/>
      <w:jc w:val="center"/>
      <w:rPr>
        <w:rFonts w:ascii="Arial" w:hAnsi="Arial" w:cs="Arial"/>
        <w:sz w:val="24"/>
        <w:szCs w:val="24"/>
      </w:rPr>
    </w:pPr>
    <w:r>
      <w:rPr>
        <w:rFonts w:ascii="Arial" w:hAnsi="Arial" w:cs="Arial"/>
        <w:sz w:val="24"/>
        <w:szCs w:val="24"/>
      </w:rPr>
      <w:t>Steuerberatung ∙ Rechtsberatung ∙ Wirtschaftsprüfung</w:t>
    </w:r>
  </w:p>
  <w:p w14:paraId="7F161223" w14:textId="251F5928" w:rsidR="00C679CF" w:rsidRDefault="00C679CF" w:rsidP="00C679CF">
    <w:pPr>
      <w:pStyle w:val="Kopfzeile"/>
      <w:jc w:val="center"/>
      <w:rPr>
        <w:rFonts w:ascii="Arial" w:hAnsi="Arial" w:cs="Arial"/>
        <w:sz w:val="24"/>
        <w:szCs w:val="24"/>
      </w:rPr>
    </w:pPr>
    <w:proofErr w:type="spellStart"/>
    <w:r>
      <w:rPr>
        <w:rFonts w:ascii="Arial" w:hAnsi="Arial" w:cs="Arial"/>
        <w:sz w:val="24"/>
        <w:szCs w:val="24"/>
      </w:rPr>
      <w:t>Rintheimer</w:t>
    </w:r>
    <w:proofErr w:type="spellEnd"/>
    <w:r>
      <w:rPr>
        <w:rFonts w:ascii="Arial" w:hAnsi="Arial" w:cs="Arial"/>
        <w:sz w:val="24"/>
        <w:szCs w:val="24"/>
      </w:rPr>
      <w:t xml:space="preserve"> Str. 71 ∙ 76131 Karlsruhe</w:t>
    </w:r>
  </w:p>
  <w:p w14:paraId="3EAC2295" w14:textId="77777777" w:rsidR="00CB43DA" w:rsidRDefault="00CB43DA" w:rsidP="00C679CF">
    <w:pPr>
      <w:pStyle w:val="Kopfzeile"/>
      <w:jc w:val="center"/>
      <w:rPr>
        <w:rFonts w:ascii="Arial" w:hAnsi="Arial" w:cs="Arial"/>
        <w:sz w:val="24"/>
        <w:szCs w:val="24"/>
      </w:rPr>
    </w:pPr>
  </w:p>
  <w:p w14:paraId="1D3F3A53" w14:textId="77777777" w:rsidR="00C679CF" w:rsidRDefault="00C679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90529"/>
    <w:multiLevelType w:val="hybridMultilevel"/>
    <w:tmpl w:val="262A636C"/>
    <w:lvl w:ilvl="0" w:tplc="C3622BA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F1"/>
    <w:rsid w:val="000310F7"/>
    <w:rsid w:val="000E32FE"/>
    <w:rsid w:val="00292153"/>
    <w:rsid w:val="002E6D36"/>
    <w:rsid w:val="00365846"/>
    <w:rsid w:val="003C67F1"/>
    <w:rsid w:val="00602773"/>
    <w:rsid w:val="006230B4"/>
    <w:rsid w:val="00653D7B"/>
    <w:rsid w:val="00922E46"/>
    <w:rsid w:val="009A1D52"/>
    <w:rsid w:val="009B68B5"/>
    <w:rsid w:val="009C1BA9"/>
    <w:rsid w:val="00C679CF"/>
    <w:rsid w:val="00CB43DA"/>
    <w:rsid w:val="00CE656C"/>
    <w:rsid w:val="00DE1A50"/>
    <w:rsid w:val="00EE3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869"/>
  <w15:chartTrackingRefBased/>
  <w15:docId w15:val="{FF71E10D-584A-49A5-9AAB-CF9B17B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2E46"/>
    <w:pPr>
      <w:ind w:left="720"/>
      <w:contextualSpacing/>
    </w:pPr>
  </w:style>
  <w:style w:type="paragraph" w:styleId="Kopfzeile">
    <w:name w:val="header"/>
    <w:basedOn w:val="Standard"/>
    <w:link w:val="KopfzeileZchn"/>
    <w:uiPriority w:val="99"/>
    <w:unhideWhenUsed/>
    <w:rsid w:val="00C679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79CF"/>
  </w:style>
  <w:style w:type="paragraph" w:styleId="Fuzeile">
    <w:name w:val="footer"/>
    <w:basedOn w:val="Standard"/>
    <w:link w:val="FuzeileZchn"/>
    <w:uiPriority w:val="99"/>
    <w:unhideWhenUsed/>
    <w:rsid w:val="00C679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Baier</dc:creator>
  <cp:keywords/>
  <dc:description/>
  <cp:lastModifiedBy>Karin Baier</cp:lastModifiedBy>
  <cp:revision>10</cp:revision>
  <dcterms:created xsi:type="dcterms:W3CDTF">2019-11-10T22:49:00Z</dcterms:created>
  <dcterms:modified xsi:type="dcterms:W3CDTF">2019-12-06T13:37:00Z</dcterms:modified>
</cp:coreProperties>
</file>